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80E4" w14:textId="77777777" w:rsidR="000728FB" w:rsidRPr="002036EA" w:rsidRDefault="000728FB" w:rsidP="000728FB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1.</w:t>
      </w:r>
      <w:r w:rsidRPr="00C9645B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Clinical and biochemical characteristics of the patients with acromegaly depending on hyperprolactinemia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1980"/>
        <w:gridCol w:w="3279"/>
        <w:gridCol w:w="676"/>
      </w:tblGrid>
      <w:tr w:rsidR="000728FB" w:rsidRPr="002036EA" w14:paraId="10BD26B5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82893C" w14:textId="77777777" w:rsidR="000728FB" w:rsidRPr="002036EA" w:rsidRDefault="000728FB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Study </w:t>
            </w:r>
            <w:proofErr w:type="spellStart"/>
            <w:r w:rsidRPr="002036EA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D7BDE8" w14:textId="77777777" w:rsidR="000728FB" w:rsidRPr="002036EA" w:rsidRDefault="000728FB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Patients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with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acromegaly</w:t>
            </w:r>
            <w:proofErr w:type="spellEnd"/>
            <w:r w:rsidRPr="002036EA">
              <w:rPr>
                <w:b/>
                <w:bCs/>
              </w:rPr>
              <w:t xml:space="preserve"> (n = 234)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9D318A" w14:textId="77777777" w:rsidR="000728FB" w:rsidRPr="002036EA" w:rsidRDefault="000728FB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>Patients with acromegaly and hyperprolactinemia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82672D" w14:textId="77777777" w:rsidR="000728FB" w:rsidRPr="002036EA" w:rsidRDefault="000728FB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р</w:t>
            </w:r>
          </w:p>
        </w:tc>
      </w:tr>
      <w:tr w:rsidR="000728FB" w:rsidRPr="002036EA" w14:paraId="12A70A19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829CCF" w14:textId="77777777" w:rsidR="000728FB" w:rsidRPr="002036EA" w:rsidRDefault="000728FB" w:rsidP="0001541E">
            <w:proofErr w:type="spellStart"/>
            <w:r w:rsidRPr="002036EA">
              <w:t>Men</w:t>
            </w:r>
            <w:proofErr w:type="spellEnd"/>
            <w:r w:rsidRPr="002036EA">
              <w:t xml:space="preserve"> / </w:t>
            </w:r>
            <w:proofErr w:type="spellStart"/>
            <w:r w:rsidRPr="002036EA">
              <w:t>women</w:t>
            </w:r>
            <w:proofErr w:type="spellEnd"/>
            <w:r w:rsidRPr="002036EA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C68DBD" w14:textId="77777777" w:rsidR="000728FB" w:rsidRPr="002036EA" w:rsidRDefault="000728FB" w:rsidP="0001541E">
            <w:r w:rsidRPr="002036EA">
              <w:t>50 / 184 (21.4 / 78.6)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384BA6" w14:textId="77777777" w:rsidR="000728FB" w:rsidRPr="002036EA" w:rsidRDefault="000728FB" w:rsidP="0001541E">
            <w:r w:rsidRPr="002036EA">
              <w:t>20 / 52 (27.7 / 72.3)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BAFDCB" w14:textId="77777777" w:rsidR="000728FB" w:rsidRPr="002036EA" w:rsidRDefault="000728FB" w:rsidP="0001541E">
            <w:r w:rsidRPr="002036EA">
              <w:t>0.265</w:t>
            </w:r>
          </w:p>
        </w:tc>
      </w:tr>
      <w:tr w:rsidR="000728FB" w:rsidRPr="002036EA" w14:paraId="6DC2F66F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B2126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Age at the onset of symptoms, </w:t>
            </w:r>
            <w:r w:rsidRPr="002036EA">
              <w:t>Ме</w:t>
            </w:r>
            <w:r w:rsidRPr="002036EA">
              <w:rPr>
                <w:lang w:val="en-US"/>
              </w:rPr>
              <w:t xml:space="preserve"> [25%; 75%],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736DE5" w14:textId="77777777" w:rsidR="000728FB" w:rsidRPr="002036EA" w:rsidRDefault="000728FB" w:rsidP="0001541E">
            <w:r w:rsidRPr="002036EA">
              <w:t>41.5 [32; 51.5]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4BC1C8" w14:textId="77777777" w:rsidR="000728FB" w:rsidRPr="002036EA" w:rsidRDefault="000728FB" w:rsidP="0001541E">
            <w:r w:rsidRPr="002036EA">
              <w:t>37 [25; 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55FC76" w14:textId="77777777" w:rsidR="000728FB" w:rsidRPr="002036EA" w:rsidRDefault="000728FB" w:rsidP="0001541E">
            <w:r w:rsidRPr="002036EA">
              <w:t>0.004</w:t>
            </w:r>
          </w:p>
        </w:tc>
      </w:tr>
      <w:tr w:rsidR="000728FB" w:rsidRPr="002036EA" w14:paraId="79B16088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74E9AC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Time from the first symptoms to the diagnosis of acromegaly, </w:t>
            </w:r>
            <w:r w:rsidRPr="002036EA">
              <w:t>Ме</w:t>
            </w:r>
            <w:r w:rsidRPr="002036EA">
              <w:rPr>
                <w:lang w:val="en-US"/>
              </w:rPr>
              <w:t xml:space="preserve"> [25%; 75%],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35544E" w14:textId="77777777" w:rsidR="000728FB" w:rsidRPr="002036EA" w:rsidRDefault="000728FB" w:rsidP="0001541E">
            <w:r w:rsidRPr="002036EA">
              <w:t>7 [3; 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F03909" w14:textId="77777777" w:rsidR="000728FB" w:rsidRPr="002036EA" w:rsidRDefault="000728FB" w:rsidP="0001541E">
            <w:r w:rsidRPr="002036EA">
              <w:t>5 [2; 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8DC20" w14:textId="77777777" w:rsidR="000728FB" w:rsidRPr="002036EA" w:rsidRDefault="000728FB" w:rsidP="0001541E">
            <w:r w:rsidRPr="002036EA">
              <w:t>0.190</w:t>
            </w:r>
          </w:p>
        </w:tc>
      </w:tr>
      <w:tr w:rsidR="000728FB" w:rsidRPr="002036EA" w14:paraId="59E8AA8B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D1485B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Age at diagnosis of acromegaly, </w:t>
            </w:r>
            <w:r w:rsidRPr="002036EA">
              <w:t>Ме</w:t>
            </w:r>
            <w:r w:rsidRPr="002036EA">
              <w:rPr>
                <w:lang w:val="en-US"/>
              </w:rPr>
              <w:t xml:space="preserve"> [25%; 75%],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D183C8" w14:textId="77777777" w:rsidR="000728FB" w:rsidRPr="002036EA" w:rsidRDefault="000728FB" w:rsidP="0001541E">
            <w:r w:rsidRPr="002036EA">
              <w:t>52 [42; 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B95663" w14:textId="77777777" w:rsidR="000728FB" w:rsidRPr="002036EA" w:rsidRDefault="000728FB" w:rsidP="0001541E">
            <w:r w:rsidRPr="002036EA">
              <w:t>45 [34.5;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33FFCA" w14:textId="77777777" w:rsidR="000728FB" w:rsidRPr="002036EA" w:rsidRDefault="000728FB" w:rsidP="0001541E">
            <w:proofErr w:type="gramStart"/>
            <w:r w:rsidRPr="002036EA">
              <w:t>&lt; 0</w:t>
            </w:r>
            <w:proofErr w:type="gramEnd"/>
            <w:r w:rsidRPr="002036EA">
              <w:t>.001</w:t>
            </w:r>
          </w:p>
        </w:tc>
      </w:tr>
      <w:tr w:rsidR="000728FB" w:rsidRPr="002036EA" w14:paraId="25FD0957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37F3F" w14:textId="77777777" w:rsidR="000728FB" w:rsidRPr="002036EA" w:rsidRDefault="000728FB" w:rsidP="0001541E">
            <w:r w:rsidRPr="002036EA">
              <w:t xml:space="preserve">IGF1 </w:t>
            </w:r>
            <w:proofErr w:type="spellStart"/>
            <w:r w:rsidRPr="002036EA">
              <w:t>index</w:t>
            </w:r>
            <w:proofErr w:type="spellEnd"/>
            <w:r w:rsidRPr="002036EA">
              <w:t>, Ме [25%; 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956B2E" w14:textId="77777777" w:rsidR="000728FB" w:rsidRPr="002036EA" w:rsidRDefault="000728FB" w:rsidP="0001541E">
            <w:r w:rsidRPr="002036EA">
              <w:t>2.8 [2.2; 3.6]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3D8EA4" w14:textId="77777777" w:rsidR="000728FB" w:rsidRPr="002036EA" w:rsidRDefault="000728FB" w:rsidP="0001541E">
            <w:r w:rsidRPr="002036EA">
              <w:t>2.7 [1.7; 3.8]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5F5A2" w14:textId="77777777" w:rsidR="000728FB" w:rsidRPr="002036EA" w:rsidRDefault="000728FB" w:rsidP="0001541E">
            <w:r w:rsidRPr="002036EA">
              <w:t>0.270</w:t>
            </w:r>
          </w:p>
        </w:tc>
      </w:tr>
    </w:tbl>
    <w:p w14:paraId="775C1F00" w14:textId="77777777" w:rsidR="000728FB" w:rsidRPr="002036EA" w:rsidRDefault="000728FB" w:rsidP="000728FB">
      <w:pPr>
        <w:rPr>
          <w:lang w:val="en-US"/>
        </w:rPr>
      </w:pPr>
      <w:r w:rsidRPr="002036EA">
        <w:rPr>
          <w:rFonts w:hint="cs"/>
          <w:lang w:val="en-US"/>
        </w:rPr>
        <w:t>IGF</w:t>
      </w:r>
      <w:r w:rsidRPr="00844A69">
        <w:rPr>
          <w:rFonts w:ascii="Arial" w:hAnsi="Arial" w:cs="Arial"/>
          <w:lang w:val="en-US"/>
        </w:rPr>
        <w:t>1</w:t>
      </w:r>
      <w:r w:rsidRPr="002036EA">
        <w:rPr>
          <w:rFonts w:hint="cs"/>
          <w:lang w:val="en-US"/>
        </w:rPr>
        <w:t xml:space="preserve">, insulin-like growth factor </w:t>
      </w:r>
      <w:r w:rsidRPr="00844A69">
        <w:rPr>
          <w:rFonts w:ascii="Arial" w:hAnsi="Arial" w:cs="Arial"/>
          <w:lang w:val="en-US"/>
        </w:rPr>
        <w:t>1</w:t>
      </w:r>
      <w:r w:rsidRPr="002036EA">
        <w:rPr>
          <w:rFonts w:hint="cs"/>
          <w:lang w:val="en-US"/>
        </w:rPr>
        <w:t xml:space="preserve">; </w:t>
      </w:r>
      <w:r w:rsidRPr="002036EA">
        <w:rPr>
          <w:rFonts w:hint="cs"/>
        </w:rPr>
        <w:t>Ме</w:t>
      </w:r>
      <w:r w:rsidRPr="002036EA">
        <w:rPr>
          <w:rFonts w:hint="cs"/>
          <w:lang w:val="en-US"/>
        </w:rPr>
        <w:t xml:space="preserve"> [</w:t>
      </w:r>
      <w:r w:rsidRPr="00844A69">
        <w:rPr>
          <w:rFonts w:ascii="Arial" w:hAnsi="Arial" w:cs="Arial"/>
          <w:lang w:val="en-US"/>
        </w:rPr>
        <w:t>25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>], median [</w:t>
      </w:r>
      <w:r w:rsidRPr="00844A69">
        <w:rPr>
          <w:rFonts w:ascii="Arial" w:hAnsi="Arial" w:cs="Arial"/>
          <w:lang w:val="en-US"/>
        </w:rPr>
        <w:t>25</w:t>
      </w:r>
      <w:r w:rsidRPr="002036EA">
        <w:rPr>
          <w:rFonts w:hint="cs"/>
          <w:vertAlign w:val="superscript"/>
          <w:lang w:val="en-US"/>
        </w:rPr>
        <w:t>th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2036EA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2036EA">
        <w:rPr>
          <w:rFonts w:hint="cs"/>
          <w:lang w:val="en-US"/>
        </w:rPr>
        <w:t>percentiles]; n, patient numbers</w:t>
      </w:r>
    </w:p>
    <w:p w14:paraId="1C3AB5F7" w14:textId="77777777" w:rsidR="008518C5" w:rsidRDefault="008518C5"/>
    <w:p w14:paraId="79196B8C" w14:textId="77777777" w:rsidR="000728FB" w:rsidRPr="002036EA" w:rsidRDefault="000728FB" w:rsidP="000728FB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2.</w:t>
      </w:r>
      <w:r w:rsidRPr="00C9645B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 xml:space="preserve">Main characteristics of </w:t>
      </w:r>
      <w:proofErr w:type="spellStart"/>
      <w:r w:rsidRPr="002036EA">
        <w:rPr>
          <w:b/>
          <w:bCs/>
          <w:lang w:val="en-US"/>
        </w:rPr>
        <w:t>somatotropinomas</w:t>
      </w:r>
      <w:proofErr w:type="spellEnd"/>
      <w:r w:rsidRPr="002036EA">
        <w:rPr>
          <w:b/>
          <w:bCs/>
          <w:lang w:val="en-US"/>
        </w:rPr>
        <w:t xml:space="preserve"> in the patients with increased and normal prolactin levels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2262"/>
        <w:gridCol w:w="3755"/>
        <w:gridCol w:w="697"/>
      </w:tblGrid>
      <w:tr w:rsidR="000728FB" w:rsidRPr="002036EA" w14:paraId="33261169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3FE513" w14:textId="77777777" w:rsidR="000728FB" w:rsidRPr="002036EA" w:rsidRDefault="000728FB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43F6A0" w14:textId="77777777" w:rsidR="000728FB" w:rsidRPr="002036EA" w:rsidRDefault="000728FB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Patients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with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acromegaly</w:t>
            </w:r>
            <w:proofErr w:type="spellEnd"/>
            <w:r w:rsidRPr="002036EA">
              <w:rPr>
                <w:b/>
                <w:bCs/>
              </w:rPr>
              <w:t xml:space="preserve"> (n = 234)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9211C" w14:textId="77777777" w:rsidR="000728FB" w:rsidRPr="002036EA" w:rsidRDefault="000728FB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>Patients with acromegaly and hyperprolactinemia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57DF80" w14:textId="77777777" w:rsidR="000728FB" w:rsidRPr="002036EA" w:rsidRDefault="000728FB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р</w:t>
            </w:r>
          </w:p>
        </w:tc>
      </w:tr>
      <w:tr w:rsidR="000728FB" w:rsidRPr="002036EA" w14:paraId="5C6583F8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76AFCD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Micro- to macroadenoma ratio,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433054" w14:textId="77777777" w:rsidR="000728FB" w:rsidRPr="002036EA" w:rsidRDefault="000728FB" w:rsidP="0001541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1CCBA" w14:textId="77777777" w:rsidR="000728FB" w:rsidRPr="002036EA" w:rsidRDefault="000728FB" w:rsidP="0001541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37B69E" w14:textId="77777777" w:rsidR="000728FB" w:rsidRPr="002036EA" w:rsidRDefault="000728FB" w:rsidP="0001541E">
            <w:pPr>
              <w:rPr>
                <w:lang w:val="en-US"/>
              </w:rPr>
            </w:pPr>
          </w:p>
        </w:tc>
      </w:tr>
      <w:tr w:rsidR="000728FB" w:rsidRPr="002036EA" w14:paraId="47E8B004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84A041" w14:textId="77777777" w:rsidR="000728FB" w:rsidRPr="002036EA" w:rsidRDefault="000728FB" w:rsidP="0001541E">
            <w:proofErr w:type="spellStart"/>
            <w:r w:rsidRPr="002036EA">
              <w:t>total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group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04AB51" w14:textId="77777777" w:rsidR="000728FB" w:rsidRPr="002036EA" w:rsidRDefault="000728FB" w:rsidP="0001541E">
            <w:r w:rsidRPr="002036EA">
              <w:t>43 / 191 (18.4 / 81.6)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D03C3" w14:textId="77777777" w:rsidR="000728FB" w:rsidRPr="002036EA" w:rsidRDefault="000728FB" w:rsidP="0001541E">
            <w:r w:rsidRPr="002036EA">
              <w:t>7 / 65 (9.7 / 90.3)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638A9" w14:textId="77777777" w:rsidR="000728FB" w:rsidRPr="002036EA" w:rsidRDefault="000728FB" w:rsidP="0001541E">
            <w:r w:rsidRPr="002036EA">
              <w:t>0.101</w:t>
            </w:r>
          </w:p>
        </w:tc>
      </w:tr>
      <w:tr w:rsidR="000728FB" w:rsidRPr="002036EA" w14:paraId="05985356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B576C6" w14:textId="77777777" w:rsidR="000728FB" w:rsidRPr="002036EA" w:rsidRDefault="000728FB" w:rsidP="0001541E">
            <w:proofErr w:type="spellStart"/>
            <w:r w:rsidRPr="002036EA">
              <w:t>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9A644C" w14:textId="77777777" w:rsidR="000728FB" w:rsidRPr="002036EA" w:rsidRDefault="000728FB" w:rsidP="0001541E">
            <w:r w:rsidRPr="002036EA">
              <w:t>36 / 148 (19.6 / 80.4)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066D55" w14:textId="77777777" w:rsidR="000728FB" w:rsidRPr="002036EA" w:rsidRDefault="000728FB" w:rsidP="0001541E">
            <w:r w:rsidRPr="002036EA">
              <w:t>5 / 47 (9.6 / 90.4)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9D38CA" w14:textId="77777777" w:rsidR="000728FB" w:rsidRPr="002036EA" w:rsidRDefault="000728FB" w:rsidP="0001541E">
            <w:r w:rsidRPr="002036EA">
              <w:t>0.132</w:t>
            </w:r>
          </w:p>
        </w:tc>
      </w:tr>
      <w:tr w:rsidR="000728FB" w:rsidRPr="002036EA" w14:paraId="0D770098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C1B554" w14:textId="77777777" w:rsidR="000728FB" w:rsidRPr="002036EA" w:rsidRDefault="000728FB" w:rsidP="0001541E">
            <w:proofErr w:type="spellStart"/>
            <w:r w:rsidRPr="002036EA">
              <w:t>women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561C01" w14:textId="77777777" w:rsidR="000728FB" w:rsidRPr="002036EA" w:rsidRDefault="000728FB" w:rsidP="0001541E">
            <w:r w:rsidRPr="002036EA">
              <w:t>7 / 43 (14 / 86)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7D0696" w14:textId="77777777" w:rsidR="000728FB" w:rsidRPr="002036EA" w:rsidRDefault="000728FB" w:rsidP="0001541E">
            <w:r w:rsidRPr="002036EA">
              <w:t>2 / 18 (10 / 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72997B" w14:textId="77777777" w:rsidR="000728FB" w:rsidRPr="002036EA" w:rsidRDefault="000728FB" w:rsidP="0001541E">
            <w:r w:rsidRPr="002036EA">
              <w:t>0.678</w:t>
            </w:r>
          </w:p>
        </w:tc>
      </w:tr>
      <w:tr w:rsidR="000728FB" w:rsidRPr="002036EA" w14:paraId="17BC99A5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5E72E7" w14:textId="77777777" w:rsidR="000728FB" w:rsidRPr="002036EA" w:rsidRDefault="000728FB" w:rsidP="0001541E">
            <w:proofErr w:type="spellStart"/>
            <w:r w:rsidRPr="002036EA">
              <w:t>Adenoma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volume</w:t>
            </w:r>
            <w:proofErr w:type="spellEnd"/>
            <w:r w:rsidRPr="002036EA">
              <w:t>, Ме [25%; 75%], mm</w:t>
            </w:r>
            <w:r w:rsidRPr="002036EA">
              <w:rPr>
                <w:vertAlign w:val="superscript"/>
              </w:rPr>
              <w:t>3</w:t>
            </w:r>
            <w:r w:rsidRPr="002036EA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6ADDCA" w14:textId="77777777" w:rsidR="000728FB" w:rsidRPr="002036EA" w:rsidRDefault="000728FB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CB4801" w14:textId="77777777" w:rsidR="000728FB" w:rsidRPr="002036EA" w:rsidRDefault="000728FB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961BFE" w14:textId="77777777" w:rsidR="000728FB" w:rsidRPr="002036EA" w:rsidRDefault="000728FB" w:rsidP="0001541E"/>
        </w:tc>
      </w:tr>
      <w:tr w:rsidR="000728FB" w:rsidRPr="002036EA" w14:paraId="55F4DC25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5F1586" w14:textId="77777777" w:rsidR="000728FB" w:rsidRPr="002036EA" w:rsidRDefault="000728FB" w:rsidP="0001541E">
            <w:proofErr w:type="spellStart"/>
            <w:r w:rsidRPr="002036EA">
              <w:t>total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group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C99391" w14:textId="77777777" w:rsidR="000728FB" w:rsidRPr="002036EA" w:rsidRDefault="000728FB" w:rsidP="0001541E">
            <w:r w:rsidRPr="002036EA">
              <w:t>1242 [448; 3740]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2EEC01" w14:textId="77777777" w:rsidR="000728FB" w:rsidRPr="002036EA" w:rsidRDefault="000728FB" w:rsidP="0001541E">
            <w:r w:rsidRPr="002036EA">
              <w:t>4445 [1649; 7767]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20C364" w14:textId="77777777" w:rsidR="000728FB" w:rsidRPr="002036EA" w:rsidRDefault="000728FB" w:rsidP="0001541E">
            <w:proofErr w:type="gramStart"/>
            <w:r w:rsidRPr="002036EA">
              <w:t>&lt; 0</w:t>
            </w:r>
            <w:proofErr w:type="gramEnd"/>
            <w:r w:rsidRPr="002036EA">
              <w:t>.001</w:t>
            </w:r>
          </w:p>
        </w:tc>
      </w:tr>
      <w:tr w:rsidR="000728FB" w:rsidRPr="002036EA" w14:paraId="1DFD66E4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AE6B5B" w14:textId="77777777" w:rsidR="000728FB" w:rsidRPr="002036EA" w:rsidRDefault="000728FB" w:rsidP="0001541E">
            <w:proofErr w:type="spellStart"/>
            <w:r w:rsidRPr="002036EA">
              <w:lastRenderedPageBreak/>
              <w:t>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95BD3" w14:textId="77777777" w:rsidR="000728FB" w:rsidRPr="002036EA" w:rsidRDefault="000728FB" w:rsidP="0001541E">
            <w:r w:rsidRPr="002036EA">
              <w:t>2312 [840; 4858.5]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24785B" w14:textId="77777777" w:rsidR="000728FB" w:rsidRPr="002036EA" w:rsidRDefault="000728FB" w:rsidP="0001541E">
            <w:r w:rsidRPr="002036EA">
              <w:t>4830 [480; 15200]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2A1892" w14:textId="77777777" w:rsidR="000728FB" w:rsidRPr="002036EA" w:rsidRDefault="000728FB" w:rsidP="0001541E">
            <w:r w:rsidRPr="002036EA">
              <w:t>0.180</w:t>
            </w:r>
          </w:p>
        </w:tc>
      </w:tr>
      <w:tr w:rsidR="000728FB" w:rsidRPr="002036EA" w14:paraId="3760BA47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1081B" w14:textId="77777777" w:rsidR="000728FB" w:rsidRPr="002036EA" w:rsidRDefault="000728FB" w:rsidP="0001541E">
            <w:proofErr w:type="spellStart"/>
            <w:r w:rsidRPr="002036EA">
              <w:t>women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0AE07" w14:textId="77777777" w:rsidR="000728FB" w:rsidRPr="002036EA" w:rsidRDefault="000728FB" w:rsidP="0001541E">
            <w:r w:rsidRPr="002036EA">
              <w:t>1042 [378.9; 3310.8]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A1218E" w14:textId="77777777" w:rsidR="000728FB" w:rsidRPr="002036EA" w:rsidRDefault="000728FB" w:rsidP="0001541E">
            <w:r w:rsidRPr="002036EA">
              <w:t>4220.5 [1673; 7014]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10459" w14:textId="77777777" w:rsidR="000728FB" w:rsidRPr="002036EA" w:rsidRDefault="000728FB" w:rsidP="0001541E">
            <w:proofErr w:type="gramStart"/>
            <w:r w:rsidRPr="002036EA">
              <w:t>&lt; 0</w:t>
            </w:r>
            <w:proofErr w:type="gramEnd"/>
            <w:r w:rsidRPr="002036EA">
              <w:t>.001</w:t>
            </w:r>
          </w:p>
        </w:tc>
      </w:tr>
      <w:tr w:rsidR="000728FB" w:rsidRPr="002036EA" w14:paraId="4A235B2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6F782" w14:textId="77777777" w:rsidR="000728FB" w:rsidRPr="002036EA" w:rsidRDefault="000728FB" w:rsidP="0001541E">
            <w:proofErr w:type="spellStart"/>
            <w:r w:rsidRPr="002036EA">
              <w:t>Suprasellar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adenoma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growth</w:t>
            </w:r>
            <w:proofErr w:type="spellEnd"/>
            <w:r w:rsidRPr="002036EA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E1F52B" w14:textId="77777777" w:rsidR="000728FB" w:rsidRPr="002036EA" w:rsidRDefault="000728FB" w:rsidP="0001541E">
            <w:r w:rsidRPr="002036EA">
              <w:t>99 (42.3)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873C47" w14:textId="77777777" w:rsidR="000728FB" w:rsidRPr="002036EA" w:rsidRDefault="000728FB" w:rsidP="0001541E">
            <w:r w:rsidRPr="002036EA">
              <w:t>41 (56.9)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20387A" w14:textId="77777777" w:rsidR="000728FB" w:rsidRPr="002036EA" w:rsidRDefault="000728FB" w:rsidP="0001541E">
            <w:r w:rsidRPr="002036EA">
              <w:t>0.031</w:t>
            </w:r>
          </w:p>
        </w:tc>
      </w:tr>
    </w:tbl>
    <w:p w14:paraId="496C3E1B" w14:textId="77777777" w:rsidR="000728FB" w:rsidRPr="002036EA" w:rsidRDefault="000728FB" w:rsidP="000728FB">
      <w:pPr>
        <w:rPr>
          <w:lang w:val="en-US"/>
        </w:rPr>
      </w:pPr>
      <w:r w:rsidRPr="002036EA">
        <w:rPr>
          <w:rFonts w:hint="cs"/>
        </w:rPr>
        <w:t>Ме</w:t>
      </w:r>
      <w:r w:rsidRPr="002036EA">
        <w:rPr>
          <w:rFonts w:hint="cs"/>
          <w:lang w:val="en-US"/>
        </w:rPr>
        <w:t xml:space="preserve"> [</w:t>
      </w:r>
      <w:r w:rsidRPr="00844A69">
        <w:rPr>
          <w:rFonts w:ascii="Arial" w:hAnsi="Arial" w:cs="Arial"/>
          <w:lang w:val="en-US"/>
        </w:rPr>
        <w:t>25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>], median [</w:t>
      </w:r>
      <w:r w:rsidRPr="00844A69">
        <w:rPr>
          <w:rFonts w:ascii="Arial" w:hAnsi="Arial" w:cs="Arial"/>
          <w:lang w:val="en-US"/>
        </w:rPr>
        <w:t>25</w:t>
      </w:r>
      <w:r w:rsidRPr="002036EA">
        <w:rPr>
          <w:rFonts w:hint="cs"/>
          <w:vertAlign w:val="superscript"/>
          <w:lang w:val="en-US"/>
        </w:rPr>
        <w:t>th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2036EA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2036EA">
        <w:rPr>
          <w:rFonts w:hint="cs"/>
          <w:lang w:val="en-US"/>
        </w:rPr>
        <w:t>percentiles]; n (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>), patient numbers and their proportions in the group</w:t>
      </w:r>
    </w:p>
    <w:p w14:paraId="37725A29" w14:textId="77777777" w:rsidR="000728FB" w:rsidRDefault="000728FB"/>
    <w:p w14:paraId="6402CE6B" w14:textId="77777777" w:rsidR="000728FB" w:rsidRPr="002036EA" w:rsidRDefault="000728FB" w:rsidP="000728FB">
      <w:pPr>
        <w:rPr>
          <w:b/>
          <w:bCs/>
          <w:lang w:val="en-US"/>
        </w:rPr>
      </w:pPr>
      <w:r w:rsidRPr="002036EA">
        <w:rPr>
          <w:b/>
          <w:bCs/>
        </w:rPr>
        <w:t>Т</w:t>
      </w:r>
      <w:r w:rsidRPr="002036EA">
        <w:rPr>
          <w:b/>
          <w:bCs/>
          <w:lang w:val="en-US"/>
        </w:rPr>
        <w:t>able 3.</w:t>
      </w:r>
      <w:r w:rsidRPr="00C9645B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Comparison of the patients with hyperprolactinemia diagnosed before or simultaneously with acromegaly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3257"/>
        <w:gridCol w:w="3160"/>
        <w:gridCol w:w="623"/>
      </w:tblGrid>
      <w:tr w:rsidR="000728FB" w:rsidRPr="002036EA" w14:paraId="3D652A6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B5DB40" w14:textId="77777777" w:rsidR="000728FB" w:rsidRPr="002036EA" w:rsidRDefault="000728FB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Parameter</w:t>
            </w:r>
            <w:proofErr w:type="spellEnd"/>
            <w:r w:rsidRPr="002036EA">
              <w:rPr>
                <w:b/>
                <w:bCs/>
              </w:rPr>
              <w:t>, Ме [25%; 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9142C" w14:textId="77777777" w:rsidR="000728FB" w:rsidRPr="002036EA" w:rsidRDefault="000728FB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>Patients had been seen with the diagnosis of prolactinoma before the diagnosis of acromegaly (n = 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77A15F" w14:textId="77777777" w:rsidR="000728FB" w:rsidRPr="002036EA" w:rsidRDefault="000728FB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>Hyperprolactinemia diagnosed simultaneously with acromegaly (n = 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7674A1" w14:textId="77777777" w:rsidR="000728FB" w:rsidRPr="002036EA" w:rsidRDefault="000728FB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p</w:t>
            </w:r>
          </w:p>
        </w:tc>
      </w:tr>
      <w:tr w:rsidR="000728FB" w:rsidRPr="002036EA" w14:paraId="4C33A07D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18195D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Age at onset of the first symptoms,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91F939" w14:textId="77777777" w:rsidR="000728FB" w:rsidRPr="002036EA" w:rsidRDefault="000728FB" w:rsidP="0001541E">
            <w:r w:rsidRPr="002036EA">
              <w:t>27 [20; 44]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12E40A" w14:textId="77777777" w:rsidR="000728FB" w:rsidRPr="002036EA" w:rsidRDefault="000728FB" w:rsidP="0001541E">
            <w:r w:rsidRPr="002036EA">
              <w:t>39 [28; 48]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C30F6C" w14:textId="77777777" w:rsidR="000728FB" w:rsidRPr="002036EA" w:rsidRDefault="000728FB" w:rsidP="0001541E">
            <w:r w:rsidRPr="002036EA">
              <w:t>0.098</w:t>
            </w:r>
          </w:p>
        </w:tc>
      </w:tr>
      <w:tr w:rsidR="000728FB" w:rsidRPr="002036EA" w14:paraId="58D4825D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A0B7CB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Age at diagnosis of acromegaly,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B7E586" w14:textId="77777777" w:rsidR="000728FB" w:rsidRPr="002036EA" w:rsidRDefault="000728FB" w:rsidP="0001541E">
            <w:r w:rsidRPr="002036EA">
              <w:t>49 [37; 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ED2C68" w14:textId="77777777" w:rsidR="000728FB" w:rsidRPr="002036EA" w:rsidRDefault="000728FB" w:rsidP="0001541E">
            <w:r w:rsidRPr="002036EA">
              <w:t>45 [34.5;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CD6CD1" w14:textId="77777777" w:rsidR="000728FB" w:rsidRPr="002036EA" w:rsidRDefault="000728FB" w:rsidP="0001541E">
            <w:r w:rsidRPr="002036EA">
              <w:t>0.652</w:t>
            </w:r>
          </w:p>
        </w:tc>
      </w:tr>
      <w:tr w:rsidR="000728FB" w:rsidRPr="002036EA" w14:paraId="31093FC4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9A0E1D" w14:textId="77777777" w:rsidR="000728FB" w:rsidRPr="002036EA" w:rsidRDefault="000728FB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Time from the first symptoms to the diagnosis of acromegaly,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1C50B2" w14:textId="77777777" w:rsidR="000728FB" w:rsidRPr="002036EA" w:rsidRDefault="000728FB" w:rsidP="0001541E">
            <w:r w:rsidRPr="002036EA">
              <w:t>16 [8; 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506E58" w14:textId="77777777" w:rsidR="000728FB" w:rsidRPr="002036EA" w:rsidRDefault="000728FB" w:rsidP="0001541E">
            <w:r w:rsidRPr="002036EA">
              <w:t>5 [2; 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5E9DB" w14:textId="77777777" w:rsidR="000728FB" w:rsidRPr="002036EA" w:rsidRDefault="000728FB" w:rsidP="0001541E">
            <w:r w:rsidRPr="002036EA">
              <w:t>0.001</w:t>
            </w:r>
          </w:p>
        </w:tc>
      </w:tr>
      <w:tr w:rsidR="000728FB" w:rsidRPr="002036EA" w14:paraId="5CAC4634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E00770" w14:textId="77777777" w:rsidR="000728FB" w:rsidRPr="002036EA" w:rsidRDefault="000728FB" w:rsidP="0001541E">
            <w:proofErr w:type="spellStart"/>
            <w:r w:rsidRPr="002036EA">
              <w:t>Prolactin</w:t>
            </w:r>
            <w:proofErr w:type="spellEnd"/>
            <w:r w:rsidRPr="002036EA">
              <w:t xml:space="preserve">, % </w:t>
            </w:r>
            <w:proofErr w:type="spellStart"/>
            <w:r w:rsidRPr="002036EA">
              <w:t>above</w:t>
            </w:r>
            <w:proofErr w:type="spellEnd"/>
            <w:r w:rsidRPr="002036EA">
              <w:t xml:space="preserve"> UNL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8A273C" w14:textId="77777777" w:rsidR="000728FB" w:rsidRPr="002036EA" w:rsidRDefault="000728FB" w:rsidP="0001541E">
            <w:r w:rsidRPr="002036EA">
              <w:t>347.5 [173.5; 642.8]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0FF094" w14:textId="77777777" w:rsidR="000728FB" w:rsidRPr="002036EA" w:rsidRDefault="000728FB" w:rsidP="0001541E">
            <w:r w:rsidRPr="002036EA">
              <w:t>104.3 [43.8; 213.8]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8D380D" w14:textId="77777777" w:rsidR="000728FB" w:rsidRPr="002036EA" w:rsidRDefault="000728FB" w:rsidP="0001541E">
            <w:r w:rsidRPr="002036EA">
              <w:t>0.013</w:t>
            </w:r>
          </w:p>
        </w:tc>
      </w:tr>
      <w:tr w:rsidR="000728FB" w:rsidRPr="002036EA" w14:paraId="78CEE74E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0E1FEA" w14:textId="77777777" w:rsidR="000728FB" w:rsidRPr="002036EA" w:rsidRDefault="000728FB" w:rsidP="0001541E">
            <w:r w:rsidRPr="002036EA">
              <w:t xml:space="preserve">IRF1 </w:t>
            </w:r>
            <w:proofErr w:type="spellStart"/>
            <w:r w:rsidRPr="002036EA">
              <w:t>index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B4AD8" w14:textId="77777777" w:rsidR="000728FB" w:rsidRPr="002036EA" w:rsidRDefault="000728FB" w:rsidP="0001541E">
            <w:r w:rsidRPr="002036EA">
              <w:t>1.8 [1.2; 2.7]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A31D74" w14:textId="77777777" w:rsidR="000728FB" w:rsidRPr="002036EA" w:rsidRDefault="000728FB" w:rsidP="0001541E">
            <w:r w:rsidRPr="002036EA">
              <w:t>2.8 [1.9; 3.9]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DD4F1" w14:textId="77777777" w:rsidR="000728FB" w:rsidRPr="002036EA" w:rsidRDefault="000728FB" w:rsidP="0001541E">
            <w:r w:rsidRPr="002036EA">
              <w:t>0.029</w:t>
            </w:r>
          </w:p>
        </w:tc>
      </w:tr>
      <w:tr w:rsidR="000728FB" w:rsidRPr="002036EA" w14:paraId="331AB610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C9FA9" w14:textId="77777777" w:rsidR="000728FB" w:rsidRPr="002036EA" w:rsidRDefault="000728FB" w:rsidP="0001541E">
            <w:proofErr w:type="spellStart"/>
            <w:r w:rsidRPr="002036EA">
              <w:t>Adenoma</w:t>
            </w:r>
            <w:proofErr w:type="spellEnd"/>
            <w:r w:rsidRPr="002036EA">
              <w:t xml:space="preserve"> </w:t>
            </w:r>
            <w:proofErr w:type="spellStart"/>
            <w:r w:rsidRPr="002036EA">
              <w:t>volume</w:t>
            </w:r>
            <w:proofErr w:type="spellEnd"/>
            <w:r w:rsidRPr="002036EA">
              <w:t>, mm</w:t>
            </w:r>
            <w:r w:rsidRPr="002036EA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D5E7D8" w14:textId="77777777" w:rsidR="000728FB" w:rsidRPr="002036EA" w:rsidRDefault="000728FB" w:rsidP="0001541E">
            <w:r w:rsidRPr="002036EA">
              <w:t>2176 [1092; 6379]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2C0DF4" w14:textId="77777777" w:rsidR="000728FB" w:rsidRPr="002036EA" w:rsidRDefault="000728FB" w:rsidP="0001541E">
            <w:r w:rsidRPr="002036EA">
              <w:t>4625 [1416; 7767]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20243A" w14:textId="77777777" w:rsidR="000728FB" w:rsidRPr="002036EA" w:rsidRDefault="000728FB" w:rsidP="0001541E">
            <w:r w:rsidRPr="002036EA">
              <w:t>0.233</w:t>
            </w:r>
          </w:p>
        </w:tc>
      </w:tr>
    </w:tbl>
    <w:p w14:paraId="22C75A5B" w14:textId="77777777" w:rsidR="000728FB" w:rsidRPr="002036EA" w:rsidRDefault="000728FB" w:rsidP="000728FB">
      <w:pPr>
        <w:rPr>
          <w:lang w:val="en-US"/>
        </w:rPr>
      </w:pPr>
      <w:r w:rsidRPr="002036EA">
        <w:rPr>
          <w:rFonts w:hint="cs"/>
          <w:lang w:val="en-US"/>
        </w:rPr>
        <w:t>IGF</w:t>
      </w:r>
      <w:r w:rsidRPr="00844A69">
        <w:rPr>
          <w:rFonts w:ascii="Arial" w:hAnsi="Arial" w:cs="Arial"/>
          <w:lang w:val="en-US"/>
        </w:rPr>
        <w:t>1</w:t>
      </w:r>
      <w:r w:rsidRPr="002036EA">
        <w:rPr>
          <w:rFonts w:hint="cs"/>
          <w:lang w:val="en-US"/>
        </w:rPr>
        <w:t xml:space="preserve">, insulin-like growth factor </w:t>
      </w:r>
      <w:r w:rsidRPr="00844A69">
        <w:rPr>
          <w:rFonts w:ascii="Arial" w:hAnsi="Arial" w:cs="Arial"/>
          <w:lang w:val="en-US"/>
        </w:rPr>
        <w:t>1</w:t>
      </w:r>
      <w:r w:rsidRPr="002036EA">
        <w:rPr>
          <w:rFonts w:hint="cs"/>
          <w:lang w:val="en-US"/>
        </w:rPr>
        <w:t xml:space="preserve">; </w:t>
      </w:r>
      <w:r w:rsidRPr="002036EA">
        <w:rPr>
          <w:rFonts w:hint="cs"/>
        </w:rPr>
        <w:t>Ме</w:t>
      </w:r>
      <w:r w:rsidRPr="002036EA">
        <w:rPr>
          <w:rFonts w:hint="cs"/>
          <w:lang w:val="en-US"/>
        </w:rPr>
        <w:t xml:space="preserve"> [</w:t>
      </w:r>
      <w:r w:rsidRPr="00844A69">
        <w:rPr>
          <w:rFonts w:ascii="Arial" w:hAnsi="Arial" w:cs="Arial"/>
          <w:lang w:val="en-US"/>
        </w:rPr>
        <w:t>25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BA1A24">
        <w:rPr>
          <w:rFonts w:ascii="Arial" w:hAnsi="Arial" w:cs="Arial"/>
          <w:lang w:val="en-US"/>
        </w:rPr>
        <w:t>%</w:t>
      </w:r>
      <w:r w:rsidRPr="002036EA">
        <w:rPr>
          <w:rFonts w:hint="cs"/>
          <w:lang w:val="en-US"/>
        </w:rPr>
        <w:t>], median [</w:t>
      </w:r>
      <w:r w:rsidRPr="00844A69">
        <w:rPr>
          <w:rFonts w:ascii="Arial" w:hAnsi="Arial" w:cs="Arial"/>
          <w:lang w:val="en-US"/>
        </w:rPr>
        <w:t>25</w:t>
      </w:r>
      <w:r w:rsidRPr="002036EA">
        <w:rPr>
          <w:rFonts w:hint="cs"/>
          <w:vertAlign w:val="superscript"/>
          <w:lang w:val="en-US"/>
        </w:rPr>
        <w:t>th</w:t>
      </w:r>
      <w:r w:rsidRPr="002036EA">
        <w:rPr>
          <w:rFonts w:hint="cs"/>
          <w:lang w:val="en-US"/>
        </w:rPr>
        <w:t xml:space="preserve">; </w:t>
      </w:r>
      <w:r w:rsidRPr="00844A69">
        <w:rPr>
          <w:rFonts w:ascii="Arial" w:hAnsi="Arial" w:cs="Arial"/>
          <w:lang w:val="en-US"/>
        </w:rPr>
        <w:t>75</w:t>
      </w:r>
      <w:r w:rsidRPr="002036EA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2036EA">
        <w:rPr>
          <w:rFonts w:hint="cs"/>
          <w:lang w:val="en-US"/>
        </w:rPr>
        <w:t>percentiles]; n, patient numbers; UNL, upper normal limit</w:t>
      </w:r>
    </w:p>
    <w:p w14:paraId="46AFF275" w14:textId="77777777" w:rsidR="000728FB" w:rsidRPr="000728FB" w:rsidRDefault="000728FB">
      <w:pPr>
        <w:rPr>
          <w:lang w:val="en-US"/>
        </w:rPr>
      </w:pPr>
    </w:p>
    <w:sectPr w:rsidR="000728FB" w:rsidRPr="0007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FB"/>
    <w:rsid w:val="000728FB"/>
    <w:rsid w:val="000E306D"/>
    <w:rsid w:val="003435E5"/>
    <w:rsid w:val="008518C5"/>
    <w:rsid w:val="008E60F5"/>
    <w:rsid w:val="008E61FC"/>
    <w:rsid w:val="00A20AA5"/>
    <w:rsid w:val="00AF461E"/>
    <w:rsid w:val="00FB764A"/>
    <w:rsid w:val="00FD0A85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9381"/>
  <w15:chartTrackingRefBased/>
  <w15:docId w15:val="{A754713F-E8D9-46A9-BBD6-843F9B94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FB"/>
  </w:style>
  <w:style w:type="paragraph" w:styleId="1">
    <w:name w:val="heading 1"/>
    <w:basedOn w:val="a"/>
    <w:next w:val="a"/>
    <w:link w:val="10"/>
    <w:uiPriority w:val="9"/>
    <w:qFormat/>
    <w:rsid w:val="0007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8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8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8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8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2024-12-16T16:13:00Z</dcterms:created>
  <dcterms:modified xsi:type="dcterms:W3CDTF">2024-12-16T16:14:00Z</dcterms:modified>
</cp:coreProperties>
</file>